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0EEFC" w14:textId="77777777" w:rsidR="00803314" w:rsidRDefault="00803314" w:rsidP="00803314">
      <w:pPr>
        <w:rPr>
          <w:b/>
        </w:rPr>
      </w:pPr>
      <w:r w:rsidRPr="007148B2">
        <w:rPr>
          <w:rFonts w:ascii="Arial" w:hAnsi="Arial" w:cs="Arial"/>
          <w:noProof/>
          <w:sz w:val="20"/>
          <w:lang w:eastAsia="fr-FR"/>
        </w:rPr>
        <w:drawing>
          <wp:inline distT="0" distB="0" distL="0" distR="0" wp14:anchorId="17C79551" wp14:editId="5EB7FF9E">
            <wp:extent cx="2458720" cy="1112520"/>
            <wp:effectExtent l="0" t="0" r="0" b="0"/>
            <wp:docPr id="2" name="Image 2" descr="Z:\01_Observatoire\2_Plénier\2017\logo vectorisé OSMP Pantone 274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Z:\01_Observatoire\2_Plénier\2017\logo vectorisé OSMP Pantone 2745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D04A0" w14:textId="77777777" w:rsidR="00803314" w:rsidRDefault="00803314" w:rsidP="00B01871">
      <w:pPr>
        <w:jc w:val="center"/>
        <w:rPr>
          <w:b/>
        </w:rPr>
      </w:pPr>
    </w:p>
    <w:p w14:paraId="7DA7481C" w14:textId="77777777" w:rsidR="00596EE0" w:rsidRDefault="00596EE0" w:rsidP="00803314">
      <w:pPr>
        <w:pStyle w:val="Titre1"/>
        <w:jc w:val="center"/>
        <w:rPr>
          <w:rFonts w:ascii="Cambria" w:hAnsi="Cambria"/>
          <w:color w:val="002060"/>
        </w:rPr>
      </w:pPr>
    </w:p>
    <w:p w14:paraId="15866026" w14:textId="77777777" w:rsidR="003D2D80" w:rsidRPr="00596EE0" w:rsidRDefault="00B01871" w:rsidP="00803314">
      <w:pPr>
        <w:pStyle w:val="Titre1"/>
        <w:jc w:val="center"/>
        <w:rPr>
          <w:rFonts w:ascii="Cambria" w:hAnsi="Cambria"/>
          <w:color w:val="002060"/>
        </w:rPr>
      </w:pPr>
      <w:r w:rsidRPr="00596EE0">
        <w:rPr>
          <w:rFonts w:ascii="Cambria" w:hAnsi="Cambria"/>
          <w:color w:val="002060"/>
        </w:rPr>
        <w:t xml:space="preserve">Authentification </w:t>
      </w:r>
      <w:r w:rsidR="00F1259D" w:rsidRPr="00596EE0">
        <w:rPr>
          <w:rFonts w:ascii="Cambria" w:hAnsi="Cambria"/>
          <w:color w:val="002060"/>
        </w:rPr>
        <w:t xml:space="preserve">forte </w:t>
      </w:r>
      <w:r w:rsidRPr="00596EE0">
        <w:rPr>
          <w:rFonts w:ascii="Cambria" w:hAnsi="Cambria"/>
          <w:color w:val="002060"/>
        </w:rPr>
        <w:t xml:space="preserve">des </w:t>
      </w:r>
      <w:r w:rsidR="00F1259D" w:rsidRPr="00596EE0">
        <w:rPr>
          <w:rFonts w:ascii="Cambria" w:hAnsi="Cambria"/>
          <w:color w:val="002060"/>
        </w:rPr>
        <w:t>paiements par carte</w:t>
      </w:r>
      <w:r w:rsidR="003D2D80" w:rsidRPr="00596EE0">
        <w:rPr>
          <w:rFonts w:ascii="Cambria" w:hAnsi="Cambria"/>
          <w:color w:val="002060"/>
        </w:rPr>
        <w:t xml:space="preserve"> sur internet</w:t>
      </w:r>
    </w:p>
    <w:p w14:paraId="5F233C96" w14:textId="77777777" w:rsidR="004915E3" w:rsidRPr="00596EE0" w:rsidRDefault="003D2D80" w:rsidP="00803314">
      <w:pPr>
        <w:pStyle w:val="Titre1"/>
        <w:jc w:val="center"/>
        <w:rPr>
          <w:rFonts w:ascii="Cambria" w:hAnsi="Cambria"/>
          <w:color w:val="002060"/>
        </w:rPr>
      </w:pPr>
      <w:r w:rsidRPr="00596EE0">
        <w:rPr>
          <w:rFonts w:ascii="Cambria" w:hAnsi="Cambria"/>
          <w:color w:val="002060"/>
        </w:rPr>
        <w:t>L</w:t>
      </w:r>
      <w:r w:rsidR="00B01871" w:rsidRPr="00596EE0">
        <w:rPr>
          <w:rFonts w:ascii="Cambria" w:hAnsi="Cambria"/>
          <w:color w:val="002060"/>
        </w:rPr>
        <w:t xml:space="preserve">es commerçants </w:t>
      </w:r>
      <w:r w:rsidR="00F1259D" w:rsidRPr="00596EE0">
        <w:rPr>
          <w:rFonts w:ascii="Cambria" w:hAnsi="Cambria"/>
          <w:color w:val="002060"/>
        </w:rPr>
        <w:t xml:space="preserve">et les créanciers </w:t>
      </w:r>
      <w:r w:rsidR="00B01871" w:rsidRPr="00596EE0">
        <w:rPr>
          <w:rFonts w:ascii="Cambria" w:hAnsi="Cambria"/>
          <w:color w:val="002060"/>
        </w:rPr>
        <w:t>en première ligne</w:t>
      </w:r>
    </w:p>
    <w:p w14:paraId="65D83BD4" w14:textId="77777777" w:rsidR="004915E3" w:rsidRDefault="004915E3" w:rsidP="00E11BD3">
      <w:pPr>
        <w:jc w:val="both"/>
        <w:rPr>
          <w:b/>
        </w:rPr>
      </w:pPr>
    </w:p>
    <w:p w14:paraId="337C1F17" w14:textId="77777777" w:rsidR="00F1259D" w:rsidRDefault="00F1259D" w:rsidP="00E11BD3">
      <w:pPr>
        <w:jc w:val="both"/>
        <w:rPr>
          <w:b/>
        </w:rPr>
      </w:pPr>
    </w:p>
    <w:p w14:paraId="3BC17E7C" w14:textId="77777777" w:rsidR="00F1259D" w:rsidRPr="00596EE0" w:rsidRDefault="00F1259D" w:rsidP="00596EE0">
      <w:pPr>
        <w:pStyle w:val="Titre1"/>
        <w:spacing w:after="240"/>
        <w:rPr>
          <w:rFonts w:ascii="Cambria" w:hAnsi="Cambria"/>
          <w:color w:val="002060"/>
          <w:sz w:val="28"/>
        </w:rPr>
      </w:pPr>
      <w:r w:rsidRPr="00596EE0">
        <w:rPr>
          <w:rFonts w:ascii="Cambria" w:hAnsi="Cambria"/>
          <w:color w:val="002060"/>
          <w:sz w:val="28"/>
        </w:rPr>
        <w:t>Que dit la nouvelle règlementation ?</w:t>
      </w:r>
    </w:p>
    <w:p w14:paraId="091E3FAE" w14:textId="77777777" w:rsidR="00F1259D" w:rsidRDefault="00F1259D" w:rsidP="00F1259D">
      <w:pPr>
        <w:jc w:val="both"/>
      </w:pPr>
      <w:r>
        <w:t>L</w:t>
      </w:r>
      <w:r w:rsidR="009722F0" w:rsidRPr="00F1259D">
        <w:t xml:space="preserve">a </w:t>
      </w:r>
      <w:r w:rsidRPr="00F1259D">
        <w:t xml:space="preserve">nouvelle règlementation européenne </w:t>
      </w:r>
      <w:r w:rsidR="0027608C">
        <w:t xml:space="preserve">du secteur des paiements, </w:t>
      </w:r>
      <w:r w:rsidRPr="00F1259D">
        <w:t xml:space="preserve">dite </w:t>
      </w:r>
      <w:r w:rsidR="009722F0" w:rsidRPr="00F1259D">
        <w:t>DSP2</w:t>
      </w:r>
      <w:r w:rsidRPr="00F1259D">
        <w:t xml:space="preserve"> (2</w:t>
      </w:r>
      <w:r w:rsidRPr="00F1259D">
        <w:rPr>
          <w:vertAlign w:val="superscript"/>
        </w:rPr>
        <w:t>ème</w:t>
      </w:r>
      <w:r w:rsidRPr="00F1259D">
        <w:t xml:space="preserve"> directive sur les services de paiement)</w:t>
      </w:r>
      <w:r w:rsidR="0027608C">
        <w:t>,</w:t>
      </w:r>
      <w:r>
        <w:t xml:space="preserve"> </w:t>
      </w:r>
      <w:r w:rsidR="0066587F">
        <w:t>prévoit</w:t>
      </w:r>
      <w:r>
        <w:t xml:space="preserve"> que</w:t>
      </w:r>
      <w:r w:rsidR="009722F0" w:rsidRPr="00E11BD3">
        <w:rPr>
          <w:b/>
        </w:rPr>
        <w:t xml:space="preserve"> les </w:t>
      </w:r>
      <w:r>
        <w:rPr>
          <w:b/>
        </w:rPr>
        <w:t>paiements par carte sur internet</w:t>
      </w:r>
      <w:r w:rsidR="009722F0" w:rsidRPr="00E11BD3">
        <w:rPr>
          <w:b/>
        </w:rPr>
        <w:t xml:space="preserve"> </w:t>
      </w:r>
      <w:r w:rsidR="0066587F">
        <w:rPr>
          <w:b/>
        </w:rPr>
        <w:t>doivent</w:t>
      </w:r>
      <w:r w:rsidR="009722F0" w:rsidRPr="00E11BD3">
        <w:rPr>
          <w:b/>
        </w:rPr>
        <w:t xml:space="preserve"> désormais faire l’objet d’une authentification forte</w:t>
      </w:r>
      <w:r>
        <w:rPr>
          <w:b/>
        </w:rPr>
        <w:t xml:space="preserve"> </w:t>
      </w:r>
      <w:r w:rsidR="00596EE0">
        <w:rPr>
          <w:b/>
        </w:rPr>
        <w:t xml:space="preserve">du payeur </w:t>
      </w:r>
      <w:r>
        <w:rPr>
          <w:b/>
        </w:rPr>
        <w:t xml:space="preserve">de façon </w:t>
      </w:r>
      <w:r w:rsidR="00596EE0">
        <w:rPr>
          <w:b/>
        </w:rPr>
        <w:t>quasi-</w:t>
      </w:r>
      <w:r>
        <w:rPr>
          <w:b/>
        </w:rPr>
        <w:t>systématique</w:t>
      </w:r>
      <w:r w:rsidR="009722F0">
        <w:t>.</w:t>
      </w:r>
      <w:r w:rsidR="00E11BD3">
        <w:t xml:space="preserve"> </w:t>
      </w:r>
    </w:p>
    <w:p w14:paraId="687DA783" w14:textId="1336F825" w:rsidR="0066587F" w:rsidRDefault="00596EE0" w:rsidP="00E11BD3">
      <w:pPr>
        <w:jc w:val="both"/>
      </w:pPr>
      <w:r>
        <w:t>C</w:t>
      </w:r>
      <w:r w:rsidR="009722F0" w:rsidRPr="00E11BD3">
        <w:rPr>
          <w:b/>
        </w:rPr>
        <w:t xml:space="preserve">ertaines transactions pourront néanmoins bénéficier d’une exemption d’authentification. </w:t>
      </w:r>
      <w:r w:rsidR="0027608C">
        <w:t>Les textes</w:t>
      </w:r>
      <w:r w:rsidR="00E46F71">
        <w:t xml:space="preserve"> prévoi</w:t>
      </w:r>
      <w:r w:rsidR="0027608C">
        <w:t>en</w:t>
      </w:r>
      <w:r w:rsidR="00E46F71">
        <w:t xml:space="preserve">t </w:t>
      </w:r>
      <w:r w:rsidR="008C28FD">
        <w:t>quatre</w:t>
      </w:r>
      <w:r w:rsidR="00E11BD3" w:rsidRPr="00E11BD3">
        <w:t xml:space="preserve"> cas de figure</w:t>
      </w:r>
      <w:r w:rsidR="00E11BD3">
        <w:t xml:space="preserve"> : </w:t>
      </w:r>
      <w:r w:rsidR="00E46F71">
        <w:t>bénéficiaire de confiance, opérations récurrentes, opération de faible valeur</w:t>
      </w:r>
      <w:r>
        <w:t xml:space="preserve"> unitaire (moins de 30 €)</w:t>
      </w:r>
      <w:r w:rsidR="00E46F71">
        <w:t xml:space="preserve"> et opération</w:t>
      </w:r>
      <w:r w:rsidR="0066587F">
        <w:t xml:space="preserve"> à risque limité.</w:t>
      </w:r>
    </w:p>
    <w:p w14:paraId="37903A5C" w14:textId="38F79689" w:rsidR="00E11BD3" w:rsidRPr="00E11BD3" w:rsidRDefault="00F1259D" w:rsidP="00E11BD3">
      <w:pPr>
        <w:jc w:val="both"/>
      </w:pPr>
      <w:r w:rsidRPr="0066587F">
        <w:rPr>
          <w:b/>
        </w:rPr>
        <w:t xml:space="preserve">Le choix d’accorder ou non une exemption </w:t>
      </w:r>
      <w:r w:rsidR="0072696C">
        <w:rPr>
          <w:b/>
        </w:rPr>
        <w:t xml:space="preserve">revient, </w:t>
      </w:r>
      <w:r w:rsidR="0072696C" w:rsidRPr="001C5D7D">
        <w:rPr>
          <w:b/>
          <w:i/>
        </w:rPr>
        <w:t>in fine</w:t>
      </w:r>
      <w:r w:rsidR="0072696C">
        <w:rPr>
          <w:b/>
        </w:rPr>
        <w:t>,</w:t>
      </w:r>
      <w:r w:rsidR="0072696C" w:rsidRPr="0066587F">
        <w:rPr>
          <w:b/>
        </w:rPr>
        <w:t xml:space="preserve"> </w:t>
      </w:r>
      <w:r w:rsidR="0072696C">
        <w:rPr>
          <w:b/>
        </w:rPr>
        <w:t xml:space="preserve">à la </w:t>
      </w:r>
      <w:r w:rsidR="00E46F71" w:rsidRPr="0066587F">
        <w:rPr>
          <w:b/>
        </w:rPr>
        <w:t>banque émettrice</w:t>
      </w:r>
      <w:r w:rsidRPr="0066587F">
        <w:rPr>
          <w:b/>
        </w:rPr>
        <w:t xml:space="preserve"> de la carte</w:t>
      </w:r>
      <w:r w:rsidR="00E46F71">
        <w:t>.</w:t>
      </w:r>
    </w:p>
    <w:p w14:paraId="331BB93C" w14:textId="77777777" w:rsidR="00F1259D" w:rsidRDefault="00F1259D" w:rsidP="004915E3">
      <w:pPr>
        <w:jc w:val="both"/>
        <w:rPr>
          <w:b/>
        </w:rPr>
      </w:pPr>
    </w:p>
    <w:p w14:paraId="499DF628" w14:textId="77777777" w:rsidR="00F1259D" w:rsidRPr="00596EE0" w:rsidRDefault="00F1259D" w:rsidP="00596EE0">
      <w:pPr>
        <w:pStyle w:val="Titre1"/>
        <w:spacing w:after="240"/>
        <w:rPr>
          <w:rFonts w:ascii="Cambria" w:hAnsi="Cambria"/>
          <w:color w:val="002060"/>
          <w:sz w:val="28"/>
        </w:rPr>
      </w:pPr>
      <w:r w:rsidRPr="00596EE0">
        <w:rPr>
          <w:rFonts w:ascii="Cambria" w:hAnsi="Cambria"/>
          <w:color w:val="002060"/>
          <w:sz w:val="28"/>
        </w:rPr>
        <w:t xml:space="preserve">Qu’est-ce que cela </w:t>
      </w:r>
      <w:r w:rsidR="003D2D80" w:rsidRPr="00596EE0">
        <w:rPr>
          <w:rFonts w:ascii="Cambria" w:hAnsi="Cambria"/>
          <w:color w:val="002060"/>
          <w:sz w:val="28"/>
        </w:rPr>
        <w:t>change</w:t>
      </w:r>
      <w:r w:rsidRPr="00596EE0">
        <w:rPr>
          <w:rFonts w:ascii="Cambria" w:hAnsi="Cambria"/>
          <w:color w:val="002060"/>
          <w:sz w:val="28"/>
        </w:rPr>
        <w:t xml:space="preserve"> pour les commerçants et les créanciers ?</w:t>
      </w:r>
    </w:p>
    <w:p w14:paraId="4BF941AF" w14:textId="77777777" w:rsidR="00F1259D" w:rsidRDefault="00F1259D" w:rsidP="004915E3">
      <w:pPr>
        <w:jc w:val="both"/>
      </w:pPr>
      <w:r>
        <w:t xml:space="preserve">Jusqu’à présent, les commerçants et les créanciers </w:t>
      </w:r>
      <w:r w:rsidR="003D2D80" w:rsidRPr="003D2D80">
        <w:t xml:space="preserve">qui acceptent des paiements par carte en ligne </w:t>
      </w:r>
      <w:r w:rsidR="003D2D80">
        <w:t xml:space="preserve">avaient la faculté de recourir à un paiement sécurisé en choisissant d’activer le protocole 3D-Secure ; ils n’étaient toutefois pas tenus de </w:t>
      </w:r>
      <w:r>
        <w:t xml:space="preserve">justifier leur choix </w:t>
      </w:r>
      <w:r w:rsidR="003D2D80">
        <w:t xml:space="preserve">quand </w:t>
      </w:r>
      <w:r>
        <w:t>ils ne demandaient pas l’a</w:t>
      </w:r>
      <w:r w:rsidR="0027608C">
        <w:t>uthentification de leur client.</w:t>
      </w:r>
      <w:r>
        <w:t xml:space="preserve"> </w:t>
      </w:r>
      <w:r w:rsidR="0027608C">
        <w:t>C</w:t>
      </w:r>
      <w:r>
        <w:t>e</w:t>
      </w:r>
      <w:r w:rsidR="0027608C">
        <w:t xml:space="preserve"> mode d’activation à la main du bénéficiaire </w:t>
      </w:r>
      <w:r>
        <w:t>n’</w:t>
      </w:r>
      <w:r w:rsidR="003D2D80">
        <w:t>e</w:t>
      </w:r>
      <w:r>
        <w:t>st plus autorisé par la loi.</w:t>
      </w:r>
    </w:p>
    <w:p w14:paraId="3459B8A8" w14:textId="77777777" w:rsidR="003D2D80" w:rsidRDefault="003D2D80" w:rsidP="00F1259D">
      <w:pPr>
        <w:jc w:val="both"/>
      </w:pPr>
      <w:r w:rsidRPr="00596EE0">
        <w:rPr>
          <w:b/>
        </w:rPr>
        <w:t>La nouvelle règlementation change les règles de décision en matière d’authentification</w:t>
      </w:r>
      <w:r>
        <w:t> :</w:t>
      </w:r>
    </w:p>
    <w:p w14:paraId="710DD5F3" w14:textId="0771C088" w:rsidR="003D2D80" w:rsidRDefault="003D2D80" w:rsidP="001412F2">
      <w:pPr>
        <w:pStyle w:val="Paragraphedeliste"/>
        <w:numPr>
          <w:ilvl w:val="0"/>
          <w:numId w:val="2"/>
        </w:numPr>
        <w:ind w:left="360"/>
        <w:jc w:val="both"/>
      </w:pPr>
      <w:r>
        <w:t>Commerçants et créanciers devront</w:t>
      </w:r>
      <w:r w:rsidR="00C9435C">
        <w:t>, sauf exemption</w:t>
      </w:r>
      <w:r w:rsidR="00B91180">
        <w:t>,</w:t>
      </w:r>
      <w:r>
        <w:t xml:space="preserve"> </w:t>
      </w:r>
      <w:r w:rsidRPr="00596EE0">
        <w:rPr>
          <w:b/>
        </w:rPr>
        <w:t xml:space="preserve">recourir </w:t>
      </w:r>
      <w:r w:rsidR="00B91180" w:rsidRPr="00596EE0">
        <w:rPr>
          <w:b/>
        </w:rPr>
        <w:t xml:space="preserve">systématiquement </w:t>
      </w:r>
      <w:r w:rsidR="0072696C">
        <w:rPr>
          <w:b/>
        </w:rPr>
        <w:t>à une authentification forte</w:t>
      </w:r>
      <w:r w:rsidR="0027608C" w:rsidRPr="0027608C">
        <w:t>, et ce</w:t>
      </w:r>
      <w:r w:rsidRPr="0027608C">
        <w:t xml:space="preserve"> à</w:t>
      </w:r>
      <w:r>
        <w:t xml:space="preserve"> chaque paiement accepté sur internet ;</w:t>
      </w:r>
    </w:p>
    <w:p w14:paraId="3AD5D213" w14:textId="77777777" w:rsidR="003D2D80" w:rsidRDefault="003D2D80" w:rsidP="001412F2">
      <w:pPr>
        <w:pStyle w:val="Paragraphedeliste"/>
        <w:ind w:left="360"/>
        <w:jc w:val="both"/>
      </w:pPr>
    </w:p>
    <w:p w14:paraId="37E8F40D" w14:textId="3CEBDD71" w:rsidR="00F1259D" w:rsidRPr="00596EE0" w:rsidRDefault="0072696C" w:rsidP="001412F2">
      <w:pPr>
        <w:pStyle w:val="Paragraphedeliste"/>
        <w:numPr>
          <w:ilvl w:val="0"/>
          <w:numId w:val="2"/>
        </w:numPr>
        <w:ind w:left="360"/>
        <w:jc w:val="both"/>
        <w:rPr>
          <w:b/>
        </w:rPr>
      </w:pPr>
      <w:r>
        <w:t xml:space="preserve">L’activation d’une des </w:t>
      </w:r>
      <w:r w:rsidR="003D2D80">
        <w:t>quatre</w:t>
      </w:r>
      <w:r w:rsidR="00F1259D">
        <w:t xml:space="preserve"> dérogations</w:t>
      </w:r>
      <w:r w:rsidR="003D2D80">
        <w:t xml:space="preserve"> prévues par </w:t>
      </w:r>
      <w:r w:rsidR="001412F2">
        <w:t>les textes</w:t>
      </w:r>
      <w:r w:rsidR="003D2D80">
        <w:t xml:space="preserve"> pour fluidifier le parcours de paiement </w:t>
      </w:r>
      <w:r w:rsidR="000E40B0">
        <w:t xml:space="preserve">peut être réalisée, à l’initiative du commerçant/créancier via </w:t>
      </w:r>
      <w:r w:rsidR="003D2D80" w:rsidRPr="00596EE0">
        <w:rPr>
          <w:b/>
        </w:rPr>
        <w:t xml:space="preserve">une version </w:t>
      </w:r>
      <w:r w:rsidR="001412F2" w:rsidRPr="00596EE0">
        <w:rPr>
          <w:b/>
        </w:rPr>
        <w:t>plus avancée du protocole 3D-Secure, dit</w:t>
      </w:r>
      <w:r w:rsidR="003D2D80" w:rsidRPr="00596EE0">
        <w:rPr>
          <w:b/>
        </w:rPr>
        <w:t>e v2</w:t>
      </w:r>
      <w:r w:rsidR="00B91180">
        <w:rPr>
          <w:b/>
        </w:rPr>
        <w:t>,</w:t>
      </w:r>
      <w:r w:rsidR="000E40B0">
        <w:rPr>
          <w:b/>
        </w:rPr>
        <w:t xml:space="preserve"> mais reste soumise à la banque émettrice de la carte.</w:t>
      </w:r>
    </w:p>
    <w:p w14:paraId="7EE765B2" w14:textId="77777777" w:rsidR="00F1259D" w:rsidRDefault="00F1259D" w:rsidP="004915E3">
      <w:pPr>
        <w:jc w:val="both"/>
        <w:rPr>
          <w:b/>
        </w:rPr>
      </w:pPr>
    </w:p>
    <w:p w14:paraId="0E3548BD" w14:textId="77777777" w:rsidR="003D2D80" w:rsidRPr="00596EE0" w:rsidRDefault="003D2D80" w:rsidP="00596EE0">
      <w:pPr>
        <w:pStyle w:val="Titre1"/>
        <w:spacing w:after="240"/>
        <w:rPr>
          <w:rFonts w:ascii="Cambria" w:hAnsi="Cambria"/>
          <w:color w:val="002060"/>
          <w:sz w:val="28"/>
        </w:rPr>
      </w:pPr>
      <w:r w:rsidRPr="00596EE0">
        <w:rPr>
          <w:rFonts w:ascii="Cambria" w:hAnsi="Cambria"/>
          <w:color w:val="002060"/>
          <w:sz w:val="28"/>
        </w:rPr>
        <w:lastRenderedPageBreak/>
        <w:t>Quel est le calendrier de mise en place ?</w:t>
      </w:r>
    </w:p>
    <w:p w14:paraId="2D3443DE" w14:textId="1F9B503D" w:rsidR="003D2D80" w:rsidRDefault="001C5D7D" w:rsidP="004915E3">
      <w:pPr>
        <w:jc w:val="both"/>
      </w:pPr>
      <w:r>
        <w:t>L</w:t>
      </w:r>
      <w:r w:rsidR="000B5CB5" w:rsidRPr="000B5CB5">
        <w:t xml:space="preserve">’Observatoire de la sécurité des moyens de paiement, </w:t>
      </w:r>
      <w:r w:rsidR="00596EE0">
        <w:t>au travers duquel</w:t>
      </w:r>
      <w:r w:rsidR="000B5CB5" w:rsidRPr="000B5CB5">
        <w:t xml:space="preserve"> la Banque de France pilote la mise en conformité du marché français, </w:t>
      </w:r>
      <w:r w:rsidR="000B5CB5">
        <w:t xml:space="preserve">a fixé pour </w:t>
      </w:r>
      <w:r w:rsidR="000F7040">
        <w:t xml:space="preserve">objectif </w:t>
      </w:r>
      <w:r w:rsidR="000F7040" w:rsidRPr="000F7040">
        <w:rPr>
          <w:b/>
        </w:rPr>
        <w:t xml:space="preserve">un haut niveau de conformité à la règlementation à </w:t>
      </w:r>
      <w:r w:rsidR="000B5CB5" w:rsidRPr="000F7040">
        <w:rPr>
          <w:b/>
        </w:rPr>
        <w:t>la fin</w:t>
      </w:r>
      <w:r w:rsidR="000B5CB5" w:rsidRPr="00596EE0">
        <w:rPr>
          <w:b/>
        </w:rPr>
        <w:t xml:space="preserve"> </w:t>
      </w:r>
      <w:r w:rsidR="000F7040">
        <w:rPr>
          <w:b/>
        </w:rPr>
        <w:t>de l’année 2020</w:t>
      </w:r>
      <w:r>
        <w:t xml:space="preserve">. Cette position est cohérente avec les attentes de l’Autorité Bancaire Européenne, et permet ainsi d’assurer une trajectoire compatible avec celle des autres États-membres de l’Union européenne. </w:t>
      </w:r>
    </w:p>
    <w:p w14:paraId="491C60E2" w14:textId="03D5AA6D" w:rsidR="000B5CB5" w:rsidRDefault="004C6C50" w:rsidP="004915E3">
      <w:pPr>
        <w:jc w:val="both"/>
      </w:pPr>
      <w:r>
        <w:t>A</w:t>
      </w:r>
      <w:r w:rsidR="000B5CB5">
        <w:t xml:space="preserve">fin d’inciter les commerçants et les créanciers à se préparer, le plan de migration prévoit </w:t>
      </w:r>
      <w:r w:rsidR="000B5CB5" w:rsidRPr="00596EE0">
        <w:rPr>
          <w:b/>
        </w:rPr>
        <w:t>l’introduction d’un dispositif dit de « </w:t>
      </w:r>
      <w:r w:rsidR="000B5CB5" w:rsidRPr="00596EE0">
        <w:rPr>
          <w:b/>
          <w:i/>
        </w:rPr>
        <w:t>soft decline</w:t>
      </w:r>
      <w:r w:rsidR="000B5CB5" w:rsidRPr="00596EE0">
        <w:rPr>
          <w:b/>
        </w:rPr>
        <w:t xml:space="preserve"> » qui va </w:t>
      </w:r>
      <w:r>
        <w:rPr>
          <w:b/>
        </w:rPr>
        <w:t>conduire</w:t>
      </w:r>
      <w:r w:rsidR="000B5CB5" w:rsidRPr="00596EE0">
        <w:rPr>
          <w:b/>
        </w:rPr>
        <w:t xml:space="preserve"> les banques à rejeter de plus en plus de transactions non </w:t>
      </w:r>
      <w:r w:rsidR="000B5CB5" w:rsidRPr="0027608C">
        <w:rPr>
          <w:b/>
        </w:rPr>
        <w:t>conformes avec le régime cible</w:t>
      </w:r>
      <w:r w:rsidR="000B5CB5">
        <w:t> :</w:t>
      </w:r>
    </w:p>
    <w:p w14:paraId="60BD91A5" w14:textId="77777777" w:rsidR="000B5CB5" w:rsidRDefault="000B5CB5" w:rsidP="00596EE0">
      <w:pPr>
        <w:pStyle w:val="Paragraphedeliste"/>
        <w:numPr>
          <w:ilvl w:val="0"/>
          <w:numId w:val="2"/>
        </w:numPr>
        <w:ind w:left="357" w:hanging="357"/>
        <w:contextualSpacing w:val="0"/>
        <w:jc w:val="both"/>
      </w:pPr>
      <w:r w:rsidRPr="002158DF">
        <w:t>Depuis le 1</w:t>
      </w:r>
      <w:r w:rsidRPr="002158DF">
        <w:rPr>
          <w:vertAlign w:val="superscript"/>
        </w:rPr>
        <w:t>er</w:t>
      </w:r>
      <w:r w:rsidRPr="002158DF">
        <w:t xml:space="preserve"> octobre 2020, </w:t>
      </w:r>
      <w:r w:rsidRPr="002158DF">
        <w:rPr>
          <w:b/>
        </w:rPr>
        <w:t xml:space="preserve">les paiements </w:t>
      </w:r>
      <w:r w:rsidR="002158DF">
        <w:rPr>
          <w:b/>
        </w:rPr>
        <w:t xml:space="preserve">sur internet </w:t>
      </w:r>
      <w:r w:rsidRPr="002158DF">
        <w:rPr>
          <w:b/>
        </w:rPr>
        <w:t xml:space="preserve">de plus de 2.000 € initiés </w:t>
      </w:r>
      <w:r w:rsidR="002158DF">
        <w:rPr>
          <w:b/>
        </w:rPr>
        <w:t>hors</w:t>
      </w:r>
      <w:r w:rsidRPr="002158DF">
        <w:rPr>
          <w:b/>
        </w:rPr>
        <w:t xml:space="preserve"> 3D-Secure sont systématiquement rejetés</w:t>
      </w:r>
      <w:r>
        <w:t xml:space="preserve"> </w:t>
      </w:r>
      <w:r w:rsidR="002158DF">
        <w:t xml:space="preserve">par </w:t>
      </w:r>
      <w:r w:rsidR="00596EE0">
        <w:t>la banque</w:t>
      </w:r>
      <w:r w:rsidR="002158DF">
        <w:t xml:space="preserve"> du porteur de la carte</w:t>
      </w:r>
      <w:r w:rsidR="00596EE0">
        <w:t xml:space="preserve"> au moyen d’</w:t>
      </w:r>
      <w:r>
        <w:t>un</w:t>
      </w:r>
      <w:r w:rsidR="00596EE0">
        <w:t xml:space="preserve"> message invitant à utiliser ce protocole d’authentification du </w:t>
      </w:r>
      <w:r>
        <w:t>paiement ;</w:t>
      </w:r>
    </w:p>
    <w:p w14:paraId="63895516" w14:textId="1F979980" w:rsidR="00940A97" w:rsidRDefault="000B5CB5">
      <w:pPr>
        <w:pStyle w:val="Paragraphedeliste"/>
        <w:numPr>
          <w:ilvl w:val="0"/>
          <w:numId w:val="2"/>
        </w:numPr>
        <w:ind w:left="357" w:hanging="357"/>
        <w:contextualSpacing w:val="0"/>
        <w:jc w:val="both"/>
      </w:pPr>
      <w:r>
        <w:t xml:space="preserve">Ce seuil va être abaissé par paliers : à </w:t>
      </w:r>
      <w:r w:rsidRPr="008C28FD">
        <w:rPr>
          <w:b/>
        </w:rPr>
        <w:t>1.000 € en janvier 2021</w:t>
      </w:r>
      <w:r>
        <w:t xml:space="preserve">, puis à </w:t>
      </w:r>
      <w:r w:rsidRPr="008C28FD">
        <w:rPr>
          <w:b/>
        </w:rPr>
        <w:t xml:space="preserve">500 € </w:t>
      </w:r>
      <w:r w:rsidR="00317538" w:rsidRPr="008C28FD">
        <w:rPr>
          <w:b/>
        </w:rPr>
        <w:t>à partir de mi</w:t>
      </w:r>
      <w:r w:rsidR="00AD2779" w:rsidRPr="008C28FD">
        <w:rPr>
          <w:b/>
        </w:rPr>
        <w:t>-</w:t>
      </w:r>
      <w:r w:rsidR="00317538" w:rsidRPr="008C28FD">
        <w:rPr>
          <w:b/>
        </w:rPr>
        <w:t>février 2021</w:t>
      </w:r>
      <w:r w:rsidR="004C6C50">
        <w:rPr>
          <w:b/>
        </w:rPr>
        <w:t> </w:t>
      </w:r>
      <w:r w:rsidR="004C6C50">
        <w:t>;</w:t>
      </w:r>
    </w:p>
    <w:p w14:paraId="26920748" w14:textId="1BC7B82C" w:rsidR="00317538" w:rsidRDefault="00AD2779">
      <w:pPr>
        <w:pStyle w:val="Paragraphedeliste"/>
        <w:numPr>
          <w:ilvl w:val="0"/>
          <w:numId w:val="2"/>
        </w:numPr>
        <w:ind w:left="357" w:hanging="357"/>
        <w:contextualSpacing w:val="0"/>
        <w:jc w:val="both"/>
      </w:pPr>
      <w:r>
        <w:t>À</w:t>
      </w:r>
      <w:r w:rsidR="0065678B">
        <w:t xml:space="preserve"> compter d’avril 2021,</w:t>
      </w:r>
      <w:r w:rsidR="00317538" w:rsidRPr="00AD2779">
        <w:t xml:space="preserve"> </w:t>
      </w:r>
      <w:r>
        <w:t xml:space="preserve">les </w:t>
      </w:r>
      <w:r w:rsidR="0065678B">
        <w:t>conditions d’émission</w:t>
      </w:r>
      <w:r>
        <w:t xml:space="preserve"> </w:t>
      </w:r>
      <w:r w:rsidR="0065678B">
        <w:t xml:space="preserve">de messages </w:t>
      </w:r>
      <w:r w:rsidR="0065678B" w:rsidRPr="0065678B">
        <w:rPr>
          <w:i/>
        </w:rPr>
        <w:t>soft decline</w:t>
      </w:r>
      <w:r w:rsidR="0065678B">
        <w:t xml:space="preserve"> pourront être ajustées en fonction du niveau de conformité du marché français par rapport à la règlementation.</w:t>
      </w:r>
    </w:p>
    <w:p w14:paraId="4518A675" w14:textId="77777777" w:rsidR="00596EE0" w:rsidRDefault="00596EE0" w:rsidP="004915E3">
      <w:pPr>
        <w:jc w:val="both"/>
        <w:rPr>
          <w:b/>
        </w:rPr>
      </w:pPr>
    </w:p>
    <w:p w14:paraId="5DB6A6FA" w14:textId="77777777" w:rsidR="00596EE0" w:rsidRPr="00596EE0" w:rsidRDefault="00596EE0" w:rsidP="00596EE0">
      <w:pPr>
        <w:pStyle w:val="Titre1"/>
        <w:spacing w:after="240"/>
        <w:rPr>
          <w:rFonts w:ascii="Cambria" w:hAnsi="Cambria"/>
          <w:color w:val="002060"/>
          <w:sz w:val="28"/>
        </w:rPr>
      </w:pPr>
      <w:r>
        <w:rPr>
          <w:rFonts w:ascii="Cambria" w:hAnsi="Cambria"/>
          <w:color w:val="002060"/>
          <w:sz w:val="28"/>
        </w:rPr>
        <w:t>Comment s’y préparer</w:t>
      </w:r>
      <w:r w:rsidRPr="00596EE0">
        <w:rPr>
          <w:rFonts w:ascii="Cambria" w:hAnsi="Cambria"/>
          <w:color w:val="002060"/>
          <w:sz w:val="28"/>
        </w:rPr>
        <w:t xml:space="preserve"> ?</w:t>
      </w:r>
    </w:p>
    <w:p w14:paraId="4330A1CE" w14:textId="7A5F8EA6" w:rsidR="00596EE0" w:rsidRPr="00351CFE" w:rsidRDefault="00596EE0" w:rsidP="004915E3">
      <w:pPr>
        <w:jc w:val="both"/>
      </w:pPr>
      <w:r w:rsidRPr="00351CFE">
        <w:t xml:space="preserve">Les commerçants et les créanciers qui acceptent des paiements par carte sur internet sont invités à </w:t>
      </w:r>
      <w:r w:rsidRPr="002158DF">
        <w:rPr>
          <w:b/>
        </w:rPr>
        <w:t>se</w:t>
      </w:r>
      <w:r w:rsidRPr="00351CFE">
        <w:t xml:space="preserve"> </w:t>
      </w:r>
      <w:r w:rsidRPr="00351CFE">
        <w:rPr>
          <w:b/>
        </w:rPr>
        <w:t>rapprocher de leur banque</w:t>
      </w:r>
      <w:r w:rsidRPr="00351CFE">
        <w:t xml:space="preserve"> </w:t>
      </w:r>
      <w:r w:rsidR="00940A97" w:rsidRPr="00B91180">
        <w:rPr>
          <w:b/>
        </w:rPr>
        <w:t>acquéreur</w:t>
      </w:r>
      <w:r w:rsidR="00940A97">
        <w:t xml:space="preserve"> et</w:t>
      </w:r>
      <w:r w:rsidRPr="00351CFE">
        <w:t xml:space="preserve">, le cas échéant, </w:t>
      </w:r>
      <w:r w:rsidRPr="00351CFE">
        <w:rPr>
          <w:b/>
        </w:rPr>
        <w:t>de leur prestataire technique d’acceptation</w:t>
      </w:r>
      <w:r w:rsidRPr="00351CFE">
        <w:t xml:space="preserve">, afin de préparer </w:t>
      </w:r>
      <w:r w:rsidR="004D06BD">
        <w:t>ces évolutions</w:t>
      </w:r>
      <w:r w:rsidRPr="00351CFE">
        <w:t>, en particulier :</w:t>
      </w:r>
    </w:p>
    <w:p w14:paraId="3BBC45A3" w14:textId="77777777" w:rsidR="00596EE0" w:rsidRPr="00351CFE" w:rsidRDefault="00596EE0" w:rsidP="00351CFE">
      <w:pPr>
        <w:pStyle w:val="Paragraphedeliste"/>
        <w:numPr>
          <w:ilvl w:val="0"/>
          <w:numId w:val="2"/>
        </w:numPr>
        <w:ind w:left="357" w:hanging="357"/>
        <w:contextualSpacing w:val="0"/>
        <w:jc w:val="both"/>
      </w:pPr>
      <w:r w:rsidRPr="00351CFE">
        <w:t xml:space="preserve">Vérifier que leur contrat d’acceptation des paiements </w:t>
      </w:r>
      <w:r w:rsidR="00351CFE">
        <w:t xml:space="preserve">en ligne </w:t>
      </w:r>
      <w:r w:rsidRPr="00351CFE">
        <w:t xml:space="preserve">prévoit bien la </w:t>
      </w:r>
      <w:r w:rsidR="00351CFE" w:rsidRPr="00351CFE">
        <w:t>possibilité</w:t>
      </w:r>
      <w:r w:rsidRPr="00351CFE">
        <w:t xml:space="preserve"> de recourir </w:t>
      </w:r>
      <w:r w:rsidR="00351CFE">
        <w:t>au protocole</w:t>
      </w:r>
      <w:r w:rsidRPr="00351CFE">
        <w:t xml:space="preserve"> 3D-Secure ;</w:t>
      </w:r>
    </w:p>
    <w:p w14:paraId="40C843F9" w14:textId="77777777" w:rsidR="002158DF" w:rsidRDefault="00596EE0" w:rsidP="00351CFE">
      <w:pPr>
        <w:pStyle w:val="Paragraphedeliste"/>
        <w:numPr>
          <w:ilvl w:val="0"/>
          <w:numId w:val="2"/>
        </w:numPr>
        <w:ind w:left="357" w:hanging="357"/>
        <w:contextualSpacing w:val="0"/>
        <w:jc w:val="both"/>
      </w:pPr>
      <w:r w:rsidRPr="00351CFE">
        <w:t xml:space="preserve">S’assurer de leur capacité </w:t>
      </w:r>
      <w:r w:rsidR="002158DF">
        <w:t xml:space="preserve">technique </w:t>
      </w:r>
      <w:r w:rsidRPr="00351CFE">
        <w:t>à émettre des paiements via 3D-Secure</w:t>
      </w:r>
      <w:r w:rsidR="002158DF">
        <w:t> ;</w:t>
      </w:r>
    </w:p>
    <w:p w14:paraId="5DE4856A" w14:textId="542E902D" w:rsidR="00596EE0" w:rsidRPr="00351CFE" w:rsidRDefault="002158DF" w:rsidP="00351CFE">
      <w:pPr>
        <w:pStyle w:val="Paragraphedeliste"/>
        <w:numPr>
          <w:ilvl w:val="0"/>
          <w:numId w:val="2"/>
        </w:numPr>
        <w:ind w:left="357" w:hanging="357"/>
        <w:contextualSpacing w:val="0"/>
        <w:jc w:val="both"/>
      </w:pPr>
      <w:r>
        <w:t>V</w:t>
      </w:r>
      <w:r w:rsidR="00351CFE">
        <w:t xml:space="preserve">eiller à </w:t>
      </w:r>
      <w:r w:rsidR="00596EE0" w:rsidRPr="00351CFE">
        <w:t xml:space="preserve">une utilisation croissante de ce protocole </w:t>
      </w:r>
      <w:r w:rsidR="00351CFE" w:rsidRPr="00351CFE">
        <w:t>qui permette d’assurer la continuité de leurs encaissements</w:t>
      </w:r>
      <w:r w:rsidR="00AD2779">
        <w:t>,</w:t>
      </w:r>
      <w:r w:rsidR="00607BA1">
        <w:t xml:space="preserve"> </w:t>
      </w:r>
      <w:r w:rsidR="00351CFE">
        <w:t>en particulier</w:t>
      </w:r>
      <w:r w:rsidR="00351CFE" w:rsidRPr="00351CFE">
        <w:t xml:space="preserve"> </w:t>
      </w:r>
      <w:r w:rsidR="00351CFE">
        <w:t>dans la perspective</w:t>
      </w:r>
      <w:r w:rsidR="00351CFE" w:rsidRPr="00351CFE">
        <w:t xml:space="preserve"> de l’abaissement programmé des seuils d’émission de </w:t>
      </w:r>
      <w:r w:rsidR="00351CFE" w:rsidRPr="00351CFE">
        <w:rPr>
          <w:i/>
        </w:rPr>
        <w:t>soft declines</w:t>
      </w:r>
      <w:r w:rsidR="00AD2779">
        <w:rPr>
          <w:i/>
        </w:rPr>
        <w:t>,</w:t>
      </w:r>
      <w:r>
        <w:t xml:space="preserve"> </w:t>
      </w:r>
      <w:r w:rsidR="00607BA1">
        <w:t xml:space="preserve">et </w:t>
      </w:r>
      <w:r w:rsidR="00AD2779">
        <w:t xml:space="preserve">de </w:t>
      </w:r>
      <w:r w:rsidR="00607BA1">
        <w:t>facilite</w:t>
      </w:r>
      <w:r w:rsidR="00AD2779">
        <w:t>r</w:t>
      </w:r>
      <w:r w:rsidR="00607BA1">
        <w:t>, avec la version</w:t>
      </w:r>
      <w:r w:rsidR="00AD2779">
        <w:t xml:space="preserve"> 2 de</w:t>
      </w:r>
      <w:r w:rsidR="00607BA1">
        <w:t xml:space="preserve"> 3D</w:t>
      </w:r>
      <w:r w:rsidR="00AD2779">
        <w:t>-</w:t>
      </w:r>
      <w:r w:rsidR="00607BA1">
        <w:t>S</w:t>
      </w:r>
      <w:r w:rsidR="00AD2779">
        <w:t>ecure</w:t>
      </w:r>
      <w:r w:rsidR="00607BA1">
        <w:t>, la gestion des exemptions.</w:t>
      </w:r>
    </w:p>
    <w:p w14:paraId="6687ED88" w14:textId="77777777" w:rsidR="00351CFE" w:rsidRPr="00351CFE" w:rsidRDefault="00351CFE" w:rsidP="00351CFE">
      <w:pPr>
        <w:jc w:val="both"/>
      </w:pPr>
      <w:r>
        <w:t>De façon symétrique, les professionnels du marché des paiements ont été invités à se rapprocher de leur clientèle de commerçants et de créanciers afin de les sensibiliser à ces nouvelles exigences et de les accompagner dans ces évolutions.</w:t>
      </w:r>
    </w:p>
    <w:sectPr w:rsidR="00351CFE" w:rsidRPr="0035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46E"/>
    <w:multiLevelType w:val="hybridMultilevel"/>
    <w:tmpl w:val="271CB2FC"/>
    <w:lvl w:ilvl="0" w:tplc="02D4F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15D29"/>
    <w:multiLevelType w:val="hybridMultilevel"/>
    <w:tmpl w:val="EC3C77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F0"/>
    <w:rsid w:val="00001D22"/>
    <w:rsid w:val="000B5CB5"/>
    <w:rsid w:val="000E40B0"/>
    <w:rsid w:val="000F7040"/>
    <w:rsid w:val="001412F2"/>
    <w:rsid w:val="001C5D7D"/>
    <w:rsid w:val="00215816"/>
    <w:rsid w:val="002158DF"/>
    <w:rsid w:val="0027608C"/>
    <w:rsid w:val="00317538"/>
    <w:rsid w:val="00351CFE"/>
    <w:rsid w:val="003D2D80"/>
    <w:rsid w:val="004915E3"/>
    <w:rsid w:val="004C6C50"/>
    <w:rsid w:val="004D06BD"/>
    <w:rsid w:val="00596EE0"/>
    <w:rsid w:val="00607BA1"/>
    <w:rsid w:val="0065678B"/>
    <w:rsid w:val="0066587F"/>
    <w:rsid w:val="0072696C"/>
    <w:rsid w:val="007362AE"/>
    <w:rsid w:val="00803314"/>
    <w:rsid w:val="008C28FD"/>
    <w:rsid w:val="00940A97"/>
    <w:rsid w:val="009722F0"/>
    <w:rsid w:val="00AD2779"/>
    <w:rsid w:val="00B01871"/>
    <w:rsid w:val="00B91180"/>
    <w:rsid w:val="00C9435C"/>
    <w:rsid w:val="00D95797"/>
    <w:rsid w:val="00E11BD3"/>
    <w:rsid w:val="00E46F71"/>
    <w:rsid w:val="00E64BDD"/>
    <w:rsid w:val="00F1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281E"/>
  <w15:chartTrackingRefBased/>
  <w15:docId w15:val="{329E07DB-DDDD-4AD0-A3AB-7775FDF5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331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22F0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03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4D06B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06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6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Alexandra (UA 2323)</dc:creator>
  <cp:keywords/>
  <dc:description/>
  <cp:lastModifiedBy>Charlotte PAGOT</cp:lastModifiedBy>
  <cp:revision>2</cp:revision>
  <dcterms:created xsi:type="dcterms:W3CDTF">2021-01-15T14:49:00Z</dcterms:created>
  <dcterms:modified xsi:type="dcterms:W3CDTF">2021-01-15T14:49:00Z</dcterms:modified>
</cp:coreProperties>
</file>